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8"/>
        </w:rPr>
        <w:t xml:space="preserve">附件二: </w:t>
      </w:r>
      <w:r>
        <w:rPr>
          <w:rFonts w:hint="eastAsia" w:ascii="宋体" w:hAnsi="宋体"/>
          <w:sz w:val="28"/>
          <w:szCs w:val="28"/>
        </w:rPr>
        <w:t xml:space="preserve">               </w:t>
      </w:r>
    </w:p>
    <w:p>
      <w:pPr>
        <w:spacing w:line="44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年度考核评分表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825"/>
        <w:gridCol w:w="1508"/>
        <w:gridCol w:w="1340"/>
        <w:gridCol w:w="827"/>
        <w:gridCol w:w="826"/>
        <w:gridCol w:w="814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57" w:hRule="atLeast"/>
          <w:jc w:val="center"/>
        </w:trPr>
        <w:tc>
          <w:tcPr>
            <w:tcW w:w="959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89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所属系(组)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24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担任教学工作情况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周课时数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87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07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27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89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担任教育工作情况</w:t>
            </w: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65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周坐(值)班次数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出勤情况</w:t>
            </w:r>
          </w:p>
        </w:tc>
        <w:tc>
          <w:tcPr>
            <w:tcW w:w="380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获得奖励情况</w:t>
            </w: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91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41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45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参加教科研情况</w:t>
            </w: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93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97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959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  则  内  容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任班主任一学期3分。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个人或班集体获省级及以上、常州、金坛等各级教育主管部门表彰的分别加3、2、1分。个人或班集体同时获得各级各类奖项的，以最高分数计算。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9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作量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2020年课表平均周课时不少于10课时；综合高中高三任课教师、技能大赛老师课表课时不足，按10课时计算）。课时每超2节加1分，加分不超过6分。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309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公开课</w:t>
            </w:r>
          </w:p>
        </w:tc>
        <w:tc>
          <w:tcPr>
            <w:tcW w:w="5673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开校公开课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分/次，区级</w:t>
            </w:r>
            <w:r>
              <w:rPr>
                <w:rFonts w:ascii="宋体" w:hAnsi="宋体"/>
                <w:szCs w:val="21"/>
              </w:rPr>
              <w:t>公开课</w:t>
            </w:r>
            <w:r>
              <w:rPr>
                <w:rFonts w:hint="eastAsia" w:ascii="宋体" w:hAnsi="宋体"/>
                <w:szCs w:val="21"/>
              </w:rPr>
              <w:t>1.5分/次</w:t>
            </w:r>
            <w:r>
              <w:rPr>
                <w:rFonts w:ascii="宋体" w:hAnsi="宋体"/>
                <w:szCs w:val="21"/>
              </w:rPr>
              <w:t>，市级公开课</w:t>
            </w:r>
            <w:r>
              <w:rPr>
                <w:rFonts w:hint="eastAsia" w:ascii="宋体" w:hAnsi="宋体"/>
                <w:szCs w:val="21"/>
              </w:rPr>
              <w:t>2分/次，省级以上</w:t>
            </w:r>
            <w:r>
              <w:rPr>
                <w:rFonts w:ascii="宋体" w:hAnsi="宋体"/>
                <w:szCs w:val="21"/>
              </w:rPr>
              <w:t>公开课</w:t>
            </w:r>
            <w:r>
              <w:rPr>
                <w:rFonts w:hint="eastAsia" w:ascii="宋体" w:hAnsi="宋体"/>
                <w:szCs w:val="21"/>
              </w:rPr>
              <w:t>3分/次；市级及以上检查评估活动中开设的公开课1分/次。加分不超过6分。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注：需提供开课安排、教案、评课表等全套佐证材料。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1349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教科研</w:t>
            </w:r>
          </w:p>
        </w:tc>
        <w:tc>
          <w:tcPr>
            <w:tcW w:w="5673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在正式教育教学类刊物（不含增刊、专辑和论文集）发表教育教学论文</w:t>
            </w:r>
          </w:p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（1）省级及以上每篇2分，省级期刊是指至少两个版面以上。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（2）核心期刊每篇6分，核心期刊是指收入在《中文核心期刊要目总览》中的期刊。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698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73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本年度结题的课题：课题主持人国家级、省级、常州市级、金坛分别加6分、5分、4分、3分。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5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各项竞赛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（行政主管部门主办、学校组织）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教师获奖：</w:t>
            </w:r>
          </w:p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常州市级竞赛或评比</w:t>
            </w:r>
            <w:r>
              <w:rPr>
                <w:rFonts w:ascii="宋体" w:hAnsi="宋体"/>
                <w:sz w:val="22"/>
                <w:szCs w:val="28"/>
              </w:rPr>
              <w:t>获</w:t>
            </w:r>
            <w:r>
              <w:rPr>
                <w:rFonts w:hint="eastAsia" w:ascii="宋体" w:hAnsi="宋体"/>
                <w:sz w:val="22"/>
                <w:szCs w:val="28"/>
              </w:rPr>
              <w:t>一二三等</w:t>
            </w:r>
            <w:r>
              <w:rPr>
                <w:rFonts w:ascii="宋体" w:hAnsi="宋体"/>
                <w:sz w:val="22"/>
                <w:szCs w:val="28"/>
              </w:rPr>
              <w:t>奖分别加</w:t>
            </w:r>
            <w:r>
              <w:rPr>
                <w:rFonts w:hint="eastAsia" w:ascii="宋体" w:hAnsi="宋体"/>
                <w:sz w:val="22"/>
                <w:szCs w:val="28"/>
              </w:rPr>
              <w:t>4、2、1分；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江苏省级竞赛或评比</w:t>
            </w:r>
            <w:r>
              <w:rPr>
                <w:rFonts w:ascii="宋体" w:hAnsi="宋体"/>
                <w:sz w:val="22"/>
                <w:szCs w:val="28"/>
              </w:rPr>
              <w:t>获</w:t>
            </w:r>
            <w:r>
              <w:rPr>
                <w:rFonts w:hint="eastAsia" w:ascii="宋体" w:hAnsi="宋体"/>
                <w:sz w:val="22"/>
                <w:szCs w:val="28"/>
              </w:rPr>
              <w:t>一二三等</w:t>
            </w:r>
            <w:r>
              <w:rPr>
                <w:rFonts w:ascii="宋体" w:hAnsi="宋体"/>
                <w:sz w:val="22"/>
                <w:szCs w:val="28"/>
              </w:rPr>
              <w:t>奖分别加</w:t>
            </w:r>
            <w:r>
              <w:rPr>
                <w:rFonts w:hint="eastAsia" w:ascii="宋体" w:hAnsi="宋体"/>
                <w:sz w:val="22"/>
                <w:szCs w:val="28"/>
              </w:rPr>
              <w:t>6、4、2分；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江苏省级竞赛或评比</w:t>
            </w:r>
            <w:r>
              <w:rPr>
                <w:rFonts w:ascii="宋体" w:hAnsi="宋体"/>
                <w:sz w:val="22"/>
                <w:szCs w:val="28"/>
              </w:rPr>
              <w:t>获</w:t>
            </w:r>
            <w:r>
              <w:rPr>
                <w:rFonts w:hint="eastAsia" w:ascii="宋体" w:hAnsi="宋体"/>
                <w:sz w:val="22"/>
                <w:szCs w:val="28"/>
              </w:rPr>
              <w:t>一二三等</w:t>
            </w:r>
            <w:r>
              <w:rPr>
                <w:rFonts w:ascii="宋体" w:hAnsi="宋体"/>
                <w:sz w:val="22"/>
                <w:szCs w:val="28"/>
              </w:rPr>
              <w:t>奖分别加</w:t>
            </w:r>
            <w:r>
              <w:rPr>
                <w:rFonts w:hint="eastAsia" w:ascii="宋体" w:hAnsi="宋体"/>
                <w:sz w:val="22"/>
                <w:szCs w:val="28"/>
              </w:rPr>
              <w:t>8、6、4分。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同类项目以最高分数计算，不同项目分数累加。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145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辅导学生获奖：</w:t>
            </w:r>
          </w:p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1.文明风采活动、体育艺术等项目，获得金坛区团体项目1,2,3名，辅导教师分别加2、1、0.5分；</w:t>
            </w:r>
          </w:p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常州市一、二、三等奖，辅导教师分别加3、2、1分；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省级及以上一、二、三等奖，辅导教师分别加5、4、3分。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分数各项以最高分数计算。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2.辅导学生参加技能大赛、创新创业大赛获奖：</w:t>
            </w:r>
          </w:p>
          <w:p>
            <w:pPr>
              <w:spacing w:line="300" w:lineRule="exact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常州市一、二、三等奖，辅导教师分别加4、2、1分；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江苏省一、二、三等奖，辅导教师分别加6、4、2分；</w:t>
            </w:r>
          </w:p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国家级一、二、三等奖，辅导教师分别加8、6、4分。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分数以最高分数计算。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  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号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省333人才、特级教师荣誉加8分；省名师工作室领衔人，省领军人才、特级教师后备人才加6分，常州市名师工作室（坊）领衔人，常州市学科带头人加5分；常州市骨干教师、金坛区名（技）师工作室领衔人，金坛区学科带头人加4分；常州市教学能手、金坛区骨干教师加3分；常州市教坛新秀、金坛区教学能手加2分；金坛区教坛新秀加1分。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注：此项加分必须在获得证书的当年才可加分。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5673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在教育教学过程中获得其他优异成绩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6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注：1.不同项目</w:t>
      </w:r>
      <w:r>
        <w:rPr>
          <w:rFonts w:ascii="宋体" w:hAnsi="宋体"/>
          <w:sz w:val="22"/>
          <w:szCs w:val="28"/>
        </w:rPr>
        <w:t>分数</w:t>
      </w:r>
      <w:r>
        <w:rPr>
          <w:rFonts w:hint="eastAsia" w:ascii="宋体" w:hAnsi="宋体"/>
          <w:sz w:val="22"/>
          <w:szCs w:val="28"/>
        </w:rPr>
        <w:t>在当</w:t>
      </w:r>
      <w:r>
        <w:rPr>
          <w:rFonts w:ascii="宋体" w:hAnsi="宋体"/>
          <w:sz w:val="22"/>
          <w:szCs w:val="28"/>
        </w:rPr>
        <w:t>年度内的累计</w:t>
      </w:r>
      <w:r>
        <w:rPr>
          <w:rFonts w:hint="eastAsia" w:ascii="宋体" w:hAnsi="宋体"/>
          <w:sz w:val="22"/>
          <w:szCs w:val="28"/>
        </w:rPr>
        <w:t>；当年度同一</w:t>
      </w:r>
      <w:r>
        <w:rPr>
          <w:rFonts w:ascii="宋体" w:hAnsi="宋体"/>
          <w:sz w:val="22"/>
          <w:szCs w:val="28"/>
        </w:rPr>
        <w:t>作品、同一赛项</w:t>
      </w:r>
      <w:r>
        <w:rPr>
          <w:rFonts w:hint="eastAsia" w:ascii="宋体" w:hAnsi="宋体"/>
          <w:sz w:val="22"/>
          <w:szCs w:val="28"/>
        </w:rPr>
        <w:t>取</w:t>
      </w:r>
      <w:r>
        <w:rPr>
          <w:rFonts w:ascii="宋体" w:hAnsi="宋体"/>
          <w:sz w:val="22"/>
          <w:szCs w:val="28"/>
        </w:rPr>
        <w:t>最高分。</w:t>
      </w:r>
    </w:p>
    <w:p>
      <w:pPr>
        <w:snapToGrid w:val="0"/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 xml:space="preserve">    2.各项加分项目计算时间为2020.01.01-2020.12.31，以证书获取时间为准，跨年的项目只计算一次，如果省赛获奖，则以省赛名次加分，若省赛未获奖，则以上一年度市赛名次加分。</w:t>
      </w:r>
    </w:p>
    <w:p>
      <w:pPr>
        <w:snapToGrid w:val="0"/>
        <w:spacing w:line="360" w:lineRule="auto"/>
        <w:ind w:firstLine="435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3.年度考核由所属系(组)评议、考核领导小组审核。</w:t>
      </w:r>
    </w:p>
    <w:p>
      <w:pPr>
        <w:snapToGrid w:val="0"/>
        <w:spacing w:line="360" w:lineRule="auto"/>
        <w:ind w:firstLine="435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4.城市职业学院、开放大学和社区培训系统的项目，降一级标准计算，创新大赛项目本年度降一级计算。</w:t>
      </w:r>
    </w:p>
    <w:p>
      <w:pPr>
        <w:snapToGrid w:val="0"/>
        <w:spacing w:line="360" w:lineRule="auto"/>
        <w:ind w:firstLine="435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5.各项竞赛包括技能大赛、教学技能大赛、创新大赛等由学校年度考核领导小组认定的项目。</w:t>
      </w:r>
    </w:p>
    <w:p>
      <w:pPr>
        <w:snapToGrid w:val="0"/>
        <w:spacing w:line="360" w:lineRule="auto"/>
        <w:ind w:firstLine="435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6.在教育教学过程中获得优异成绩的凭相关材料自主申报，由考核领导小组确定。</w:t>
      </w:r>
    </w:p>
    <w:p>
      <w:pPr>
        <w:snapToGrid w:val="0"/>
        <w:spacing w:line="360" w:lineRule="auto"/>
        <w:ind w:firstLine="435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7.未尽事宜，由学校年度考核领导小组确定。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6B70"/>
    <w:rsid w:val="16E46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2021-01-27T09:18:00Z</dcterms:created>
  <dc:creator>Celia87</dc:creator>
  <cp:lastModifiedBy>Celia87</cp:lastModifiedBy>
  <dcterms:modified xsi:type="dcterms:W3CDTF">2021-01-27T09:18:43Z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